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048"/>
        <w:tblW w:w="16160" w:type="dxa"/>
        <w:tblLayout w:type="fixed"/>
        <w:tblCellMar>
          <w:left w:w="0" w:type="dxa"/>
          <w:right w:w="0" w:type="dxa"/>
        </w:tblCellMar>
        <w:tblLook w:val="0000"/>
      </w:tblPr>
      <w:tblGrid>
        <w:gridCol w:w="2903"/>
        <w:gridCol w:w="4483"/>
        <w:gridCol w:w="3261"/>
        <w:gridCol w:w="2893"/>
        <w:gridCol w:w="2620"/>
      </w:tblGrid>
      <w:tr w:rsidR="00C95653" w:rsidRPr="002A3AE3" w:rsidTr="00DA1EEF">
        <w:trPr>
          <w:trHeight w:hRule="exact" w:val="311"/>
        </w:trPr>
        <w:tc>
          <w:tcPr>
            <w:tcW w:w="2903" w:type="dxa"/>
            <w:vMerge w:val="restart"/>
            <w:tcBorders>
              <w:top w:val="double" w:sz="4" w:space="0" w:color="auto"/>
              <w:left w:val="double" w:sz="4" w:space="0" w:color="auto"/>
              <w:right w:val="double" w:sz="4" w:space="0" w:color="auto"/>
            </w:tcBorders>
          </w:tcPr>
          <w:p w:rsidR="00C95653" w:rsidRPr="002A3AE3" w:rsidRDefault="00C95653" w:rsidP="00DA1EEF">
            <w:pPr>
              <w:pStyle w:val="TableParagraph"/>
              <w:kinsoku w:val="0"/>
              <w:overflowPunct w:val="0"/>
              <w:spacing w:before="14"/>
              <w:ind w:right="1637"/>
              <w:rPr>
                <w:sz w:val="20"/>
                <w:szCs w:val="20"/>
              </w:rPr>
            </w:pPr>
            <w:r w:rsidRPr="002A3AE3">
              <w:rPr>
                <w:noProof/>
                <w:sz w:val="20"/>
                <w:szCs w:val="20"/>
              </w:rPr>
              <w:drawing>
                <wp:inline distT="0" distB="0" distL="0" distR="0">
                  <wp:extent cx="1838325" cy="342900"/>
                  <wp:effectExtent l="0" t="0" r="0" b="0"/>
                  <wp:docPr id="2" name="Resim 1" descr="C:\Users\345525~1\AppData\Local\Temp\Rar$DIa0.317\ARMA LOGO TÜRK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345525~1\AppData\Local\Temp\Rar$DIa0.317\ARMA LOGO TÜRKÇE.png"/>
                          <pic:cNvPicPr>
                            <a:picLocks noChangeAspect="1" noChangeArrowheads="1"/>
                          </pic:cNvPicPr>
                        </pic:nvPicPr>
                        <pic:blipFill>
                          <a:blip r:embed="rId5" cstate="print"/>
                          <a:srcRect/>
                          <a:stretch>
                            <a:fillRect/>
                          </a:stretch>
                        </pic:blipFill>
                        <pic:spPr bwMode="auto">
                          <a:xfrm>
                            <a:off x="0" y="0"/>
                            <a:ext cx="1862354" cy="347382"/>
                          </a:xfrm>
                          <a:prstGeom prst="rect">
                            <a:avLst/>
                          </a:prstGeom>
                          <a:noFill/>
                          <a:ln w="9525">
                            <a:noFill/>
                            <a:miter lim="800000"/>
                            <a:headEnd/>
                            <a:tailEnd/>
                          </a:ln>
                        </pic:spPr>
                      </pic:pic>
                    </a:graphicData>
                  </a:graphic>
                </wp:inline>
              </w:drawing>
            </w:r>
          </w:p>
        </w:tc>
        <w:tc>
          <w:tcPr>
            <w:tcW w:w="13257" w:type="dxa"/>
            <w:gridSpan w:val="4"/>
            <w:tcBorders>
              <w:top w:val="double" w:sz="4" w:space="0" w:color="auto"/>
              <w:left w:val="double" w:sz="4" w:space="0" w:color="auto"/>
              <w:bottom w:val="single" w:sz="4" w:space="0" w:color="auto"/>
              <w:right w:val="double" w:sz="4" w:space="0" w:color="auto"/>
            </w:tcBorders>
          </w:tcPr>
          <w:p w:rsidR="00C95653" w:rsidRPr="002A3AE3" w:rsidRDefault="00C95653" w:rsidP="00DA1EEF">
            <w:pPr>
              <w:spacing w:after="0"/>
              <w:jc w:val="center"/>
              <w:rPr>
                <w:rFonts w:ascii="Times New Roman" w:hAnsi="Times New Roman" w:cs="Times New Roman"/>
                <w:b/>
                <w:color w:val="FF0000"/>
                <w:sz w:val="20"/>
                <w:szCs w:val="20"/>
              </w:rPr>
            </w:pPr>
            <w:r w:rsidRPr="002A3AE3">
              <w:rPr>
                <w:rFonts w:ascii="Times New Roman" w:hAnsi="Times New Roman" w:cs="Times New Roman"/>
                <w:b/>
                <w:color w:val="FF0000"/>
                <w:sz w:val="20"/>
                <w:szCs w:val="20"/>
              </w:rPr>
              <w:t>AKÇAKALE DEVLET HASTANESİ</w:t>
            </w:r>
          </w:p>
          <w:p w:rsidR="00C95653" w:rsidRPr="002A3AE3" w:rsidRDefault="00C95653" w:rsidP="00DA1EEF">
            <w:pPr>
              <w:rPr>
                <w:rFonts w:ascii="Times New Roman" w:hAnsi="Times New Roman" w:cs="Times New Roman"/>
                <w:b/>
                <w:sz w:val="20"/>
                <w:szCs w:val="20"/>
              </w:rPr>
            </w:pPr>
            <w:r w:rsidRPr="002A3AE3">
              <w:rPr>
                <w:rFonts w:ascii="Times New Roman" w:hAnsi="Times New Roman" w:cs="Times New Roman"/>
                <w:b/>
                <w:color w:val="FF0000"/>
                <w:sz w:val="20"/>
                <w:szCs w:val="20"/>
              </w:rPr>
              <w:t xml:space="preserve">                                                                                                     </w:t>
            </w:r>
          </w:p>
        </w:tc>
      </w:tr>
      <w:tr w:rsidR="00C95653" w:rsidRPr="002A3AE3" w:rsidTr="00DA1EEF">
        <w:trPr>
          <w:trHeight w:hRule="exact" w:val="314"/>
        </w:trPr>
        <w:tc>
          <w:tcPr>
            <w:tcW w:w="2903" w:type="dxa"/>
            <w:vMerge/>
            <w:tcBorders>
              <w:left w:val="double" w:sz="4" w:space="0" w:color="auto"/>
              <w:bottom w:val="double" w:sz="4" w:space="0" w:color="auto"/>
              <w:right w:val="double" w:sz="4" w:space="0" w:color="auto"/>
            </w:tcBorders>
          </w:tcPr>
          <w:p w:rsidR="00C95653" w:rsidRPr="002A3AE3" w:rsidRDefault="00C95653" w:rsidP="00DA1EEF">
            <w:pPr>
              <w:pStyle w:val="TableParagraph"/>
              <w:kinsoku w:val="0"/>
              <w:overflowPunct w:val="0"/>
              <w:spacing w:before="14"/>
              <w:ind w:right="1637"/>
              <w:rPr>
                <w:sz w:val="20"/>
                <w:szCs w:val="20"/>
              </w:rPr>
            </w:pPr>
          </w:p>
        </w:tc>
        <w:tc>
          <w:tcPr>
            <w:tcW w:w="13257" w:type="dxa"/>
            <w:gridSpan w:val="4"/>
            <w:tcBorders>
              <w:top w:val="single" w:sz="4" w:space="0" w:color="auto"/>
              <w:left w:val="double" w:sz="4" w:space="0" w:color="auto"/>
              <w:bottom w:val="double" w:sz="4" w:space="0" w:color="auto"/>
              <w:right w:val="double" w:sz="4" w:space="0" w:color="auto"/>
            </w:tcBorders>
          </w:tcPr>
          <w:p w:rsidR="00C95653" w:rsidRPr="002A3AE3" w:rsidRDefault="00227826" w:rsidP="00227826">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ZİYARETÇİ KURALLARI VE  REFAKATÇİ POLİTİKAMIZ</w:t>
            </w:r>
            <w:r w:rsidR="00C95653" w:rsidRPr="002A3AE3">
              <w:rPr>
                <w:rFonts w:ascii="Times New Roman" w:hAnsi="Times New Roman" w:cs="Times New Roman"/>
                <w:b/>
                <w:color w:val="FF0000"/>
                <w:sz w:val="20"/>
                <w:szCs w:val="20"/>
              </w:rPr>
              <w:t xml:space="preserve"> </w:t>
            </w:r>
          </w:p>
        </w:tc>
      </w:tr>
      <w:tr w:rsidR="00C95653" w:rsidRPr="002A3AE3" w:rsidTr="00227826">
        <w:trPr>
          <w:trHeight w:hRule="exact" w:val="262"/>
        </w:trPr>
        <w:tc>
          <w:tcPr>
            <w:tcW w:w="2903" w:type="dxa"/>
            <w:tcBorders>
              <w:top w:val="double" w:sz="4" w:space="0" w:color="auto"/>
              <w:left w:val="double" w:sz="4" w:space="0" w:color="auto"/>
              <w:bottom w:val="double" w:sz="4" w:space="0" w:color="auto"/>
              <w:right w:val="double" w:sz="4" w:space="0" w:color="auto"/>
            </w:tcBorders>
          </w:tcPr>
          <w:p w:rsidR="00C95653" w:rsidRPr="00227826" w:rsidRDefault="00227826" w:rsidP="00227826">
            <w:pPr>
              <w:pStyle w:val="TableParagraph"/>
              <w:kinsoku w:val="0"/>
              <w:overflowPunct w:val="0"/>
              <w:spacing w:before="10"/>
              <w:jc w:val="both"/>
              <w:rPr>
                <w:sz w:val="20"/>
                <w:szCs w:val="20"/>
              </w:rPr>
            </w:pPr>
            <w:r w:rsidRPr="00227826">
              <w:rPr>
                <w:bCs/>
                <w:sz w:val="20"/>
                <w:szCs w:val="20"/>
              </w:rPr>
              <w:t xml:space="preserve">Doküman </w:t>
            </w:r>
            <w:proofErr w:type="gramStart"/>
            <w:r w:rsidRPr="00227826">
              <w:rPr>
                <w:bCs/>
                <w:sz w:val="20"/>
                <w:szCs w:val="20"/>
              </w:rPr>
              <w:t>Kodu:HD</w:t>
            </w:r>
            <w:proofErr w:type="gramEnd"/>
            <w:r w:rsidRPr="00227826">
              <w:rPr>
                <w:bCs/>
                <w:sz w:val="20"/>
                <w:szCs w:val="20"/>
              </w:rPr>
              <w:t>.YD.01</w:t>
            </w:r>
          </w:p>
        </w:tc>
        <w:tc>
          <w:tcPr>
            <w:tcW w:w="4483" w:type="dxa"/>
            <w:tcBorders>
              <w:top w:val="double" w:sz="4" w:space="0" w:color="auto"/>
              <w:left w:val="double" w:sz="4" w:space="0" w:color="auto"/>
              <w:bottom w:val="double" w:sz="4" w:space="0" w:color="auto"/>
              <w:right w:val="double" w:sz="4" w:space="0" w:color="auto"/>
            </w:tcBorders>
          </w:tcPr>
          <w:p w:rsidR="00C95653" w:rsidRPr="00227826" w:rsidRDefault="00227826" w:rsidP="00DA1EEF">
            <w:pPr>
              <w:pStyle w:val="TableParagraph"/>
              <w:kinsoku w:val="0"/>
              <w:overflowPunct w:val="0"/>
              <w:spacing w:before="10"/>
              <w:ind w:left="102"/>
              <w:jc w:val="both"/>
              <w:rPr>
                <w:sz w:val="20"/>
                <w:szCs w:val="20"/>
              </w:rPr>
            </w:pPr>
            <w:r w:rsidRPr="00227826">
              <w:rPr>
                <w:bCs/>
                <w:sz w:val="20"/>
                <w:szCs w:val="20"/>
              </w:rPr>
              <w:t>Yayın Tarihi:15.04.2021</w:t>
            </w:r>
          </w:p>
        </w:tc>
        <w:tc>
          <w:tcPr>
            <w:tcW w:w="3261" w:type="dxa"/>
            <w:tcBorders>
              <w:top w:val="double" w:sz="4" w:space="0" w:color="auto"/>
              <w:left w:val="double" w:sz="4" w:space="0" w:color="auto"/>
              <w:bottom w:val="double" w:sz="4" w:space="0" w:color="auto"/>
              <w:right w:val="double" w:sz="4" w:space="0" w:color="auto"/>
            </w:tcBorders>
          </w:tcPr>
          <w:p w:rsidR="00C95653" w:rsidRPr="00227826" w:rsidRDefault="00227826" w:rsidP="00DA1EEF">
            <w:pPr>
              <w:pStyle w:val="TableParagraph"/>
              <w:kinsoku w:val="0"/>
              <w:overflowPunct w:val="0"/>
              <w:spacing w:before="10"/>
              <w:ind w:left="102"/>
              <w:jc w:val="both"/>
              <w:rPr>
                <w:sz w:val="20"/>
                <w:szCs w:val="20"/>
              </w:rPr>
            </w:pPr>
            <w:r w:rsidRPr="00227826">
              <w:rPr>
                <w:bCs/>
                <w:sz w:val="20"/>
                <w:szCs w:val="20"/>
              </w:rPr>
              <w:t>Revizyon Tarihi:00</w:t>
            </w:r>
          </w:p>
        </w:tc>
        <w:tc>
          <w:tcPr>
            <w:tcW w:w="2893" w:type="dxa"/>
            <w:tcBorders>
              <w:top w:val="double" w:sz="4" w:space="0" w:color="auto"/>
              <w:left w:val="double" w:sz="4" w:space="0" w:color="auto"/>
              <w:bottom w:val="double" w:sz="4" w:space="0" w:color="auto"/>
              <w:right w:val="double" w:sz="4" w:space="0" w:color="auto"/>
            </w:tcBorders>
          </w:tcPr>
          <w:p w:rsidR="00C95653" w:rsidRPr="00227826" w:rsidRDefault="00227826" w:rsidP="00DA1EEF">
            <w:pPr>
              <w:pStyle w:val="TableParagraph"/>
              <w:kinsoku w:val="0"/>
              <w:overflowPunct w:val="0"/>
              <w:spacing w:before="10"/>
              <w:ind w:left="99"/>
              <w:jc w:val="both"/>
              <w:rPr>
                <w:sz w:val="20"/>
                <w:szCs w:val="20"/>
              </w:rPr>
            </w:pPr>
            <w:r w:rsidRPr="00227826">
              <w:rPr>
                <w:bCs/>
                <w:sz w:val="20"/>
                <w:szCs w:val="20"/>
              </w:rPr>
              <w:t>Revizyon No:00</w:t>
            </w:r>
          </w:p>
        </w:tc>
        <w:tc>
          <w:tcPr>
            <w:tcW w:w="2620" w:type="dxa"/>
            <w:tcBorders>
              <w:top w:val="double" w:sz="4" w:space="0" w:color="auto"/>
              <w:left w:val="double" w:sz="4" w:space="0" w:color="auto"/>
              <w:bottom w:val="double" w:sz="4" w:space="0" w:color="auto"/>
              <w:right w:val="double" w:sz="4" w:space="0" w:color="auto"/>
            </w:tcBorders>
          </w:tcPr>
          <w:p w:rsidR="00C95653" w:rsidRPr="00227826" w:rsidRDefault="00227826" w:rsidP="00DA1EEF">
            <w:pPr>
              <w:pStyle w:val="TableParagraph"/>
              <w:kinsoku w:val="0"/>
              <w:overflowPunct w:val="0"/>
              <w:spacing w:before="10"/>
              <w:ind w:left="102"/>
              <w:jc w:val="both"/>
              <w:rPr>
                <w:sz w:val="20"/>
                <w:szCs w:val="20"/>
              </w:rPr>
            </w:pPr>
            <w:r w:rsidRPr="00227826">
              <w:rPr>
                <w:bCs/>
                <w:sz w:val="20"/>
                <w:szCs w:val="20"/>
              </w:rPr>
              <w:t>Sayfa No:1/1</w:t>
            </w:r>
          </w:p>
        </w:tc>
      </w:tr>
    </w:tbl>
    <w:tbl>
      <w:tblPr>
        <w:tblStyle w:val="TabloKlavuzu"/>
        <w:tblW w:w="16019" w:type="dxa"/>
        <w:tblInd w:w="-885" w:type="dxa"/>
        <w:tblLook w:val="04A0"/>
      </w:tblPr>
      <w:tblGrid>
        <w:gridCol w:w="8790"/>
        <w:gridCol w:w="7229"/>
      </w:tblGrid>
      <w:tr w:rsidR="007B5383" w:rsidRPr="002A3AE3" w:rsidTr="00227826">
        <w:tc>
          <w:tcPr>
            <w:tcW w:w="8790" w:type="dxa"/>
            <w:shd w:val="clear" w:color="auto" w:fill="CCC0D9" w:themeFill="accent4" w:themeFillTint="66"/>
          </w:tcPr>
          <w:p w:rsidR="00C95653" w:rsidRPr="002A3AE3" w:rsidRDefault="007B5383">
            <w:pPr>
              <w:rPr>
                <w:rFonts w:ascii="Times New Roman" w:hAnsi="Times New Roman" w:cs="Times New Roman"/>
                <w:b/>
                <w:sz w:val="20"/>
                <w:szCs w:val="20"/>
              </w:rPr>
            </w:pPr>
            <w:r w:rsidRPr="002A3AE3">
              <w:rPr>
                <w:rFonts w:ascii="Times New Roman" w:hAnsi="Times New Roman" w:cs="Times New Roman"/>
                <w:sz w:val="20"/>
                <w:szCs w:val="20"/>
              </w:rPr>
              <w:t xml:space="preserve">                                   </w:t>
            </w:r>
            <w:r w:rsidRPr="002A3AE3">
              <w:rPr>
                <w:rFonts w:ascii="Times New Roman" w:hAnsi="Times New Roman" w:cs="Times New Roman"/>
                <w:b/>
                <w:sz w:val="20"/>
                <w:szCs w:val="20"/>
              </w:rPr>
              <w:t xml:space="preserve">ZİYARETÇİ KURALLARI </w:t>
            </w:r>
          </w:p>
        </w:tc>
        <w:tc>
          <w:tcPr>
            <w:tcW w:w="7229" w:type="dxa"/>
            <w:shd w:val="clear" w:color="auto" w:fill="CCC0D9" w:themeFill="accent4" w:themeFillTint="66"/>
          </w:tcPr>
          <w:p w:rsidR="00C95653" w:rsidRPr="002A3AE3" w:rsidRDefault="00C95653">
            <w:pPr>
              <w:rPr>
                <w:rFonts w:ascii="Times New Roman" w:hAnsi="Times New Roman" w:cs="Times New Roman"/>
                <w:b/>
                <w:sz w:val="20"/>
                <w:szCs w:val="20"/>
              </w:rPr>
            </w:pPr>
            <w:r w:rsidRPr="002A3AE3">
              <w:rPr>
                <w:rFonts w:ascii="Times New Roman" w:hAnsi="Times New Roman" w:cs="Times New Roman"/>
                <w:b/>
                <w:sz w:val="20"/>
                <w:szCs w:val="20"/>
              </w:rPr>
              <w:t xml:space="preserve">                                  </w:t>
            </w:r>
            <w:r w:rsidR="00227826">
              <w:rPr>
                <w:rFonts w:ascii="Times New Roman" w:hAnsi="Times New Roman" w:cs="Times New Roman"/>
                <w:b/>
                <w:sz w:val="20"/>
                <w:szCs w:val="20"/>
              </w:rPr>
              <w:t xml:space="preserve">     </w:t>
            </w:r>
            <w:r w:rsidRPr="002A3AE3">
              <w:rPr>
                <w:rFonts w:ascii="Times New Roman" w:hAnsi="Times New Roman" w:cs="Times New Roman"/>
                <w:b/>
                <w:sz w:val="20"/>
                <w:szCs w:val="20"/>
              </w:rPr>
              <w:t xml:space="preserve">REFAKATÇİ POLİTİKASI </w:t>
            </w:r>
          </w:p>
        </w:tc>
      </w:tr>
      <w:tr w:rsidR="007B5383" w:rsidRPr="00BF7040" w:rsidTr="00227826">
        <w:tc>
          <w:tcPr>
            <w:tcW w:w="8790" w:type="dxa"/>
            <w:shd w:val="clear" w:color="auto" w:fill="EAF1DD" w:themeFill="accent3" w:themeFillTint="33"/>
          </w:tcPr>
          <w:p w:rsidR="00C95653" w:rsidRPr="00BF7040" w:rsidRDefault="00C95653">
            <w:pPr>
              <w:rPr>
                <w:rFonts w:ascii="Times New Roman" w:hAnsi="Times New Roman" w:cs="Times New Roman"/>
                <w:sz w:val="16"/>
                <w:szCs w:val="16"/>
              </w:rPr>
            </w:pP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 xml:space="preserve">Ziyaret saatleri her gün </w:t>
            </w:r>
            <w:proofErr w:type="gramStart"/>
            <w:r w:rsidRPr="00BF7040">
              <w:rPr>
                <w:rFonts w:ascii="Times New Roman" w:hAnsi="Times New Roman" w:cs="Times New Roman"/>
                <w:b/>
                <w:sz w:val="16"/>
                <w:szCs w:val="16"/>
              </w:rPr>
              <w:t>12:30</w:t>
            </w:r>
            <w:proofErr w:type="gramEnd"/>
            <w:r w:rsidRPr="00BF7040">
              <w:rPr>
                <w:rFonts w:ascii="Times New Roman" w:hAnsi="Times New Roman" w:cs="Times New Roman"/>
                <w:b/>
                <w:sz w:val="16"/>
                <w:szCs w:val="16"/>
              </w:rPr>
              <w:t xml:space="preserve"> – 13:30</w:t>
            </w:r>
            <w:r w:rsidRPr="00BF7040">
              <w:rPr>
                <w:rFonts w:ascii="Times New Roman" w:hAnsi="Times New Roman" w:cs="Times New Roman"/>
                <w:sz w:val="16"/>
                <w:szCs w:val="16"/>
              </w:rPr>
              <w:t xml:space="preserve"> ve </w:t>
            </w:r>
            <w:r w:rsidRPr="00BF7040">
              <w:rPr>
                <w:rFonts w:ascii="Times New Roman" w:hAnsi="Times New Roman" w:cs="Times New Roman"/>
                <w:b/>
                <w:sz w:val="16"/>
                <w:szCs w:val="16"/>
              </w:rPr>
              <w:t>18:00 – 19:00</w:t>
            </w:r>
            <w:r w:rsidRPr="00BF7040">
              <w:rPr>
                <w:rFonts w:ascii="Times New Roman" w:hAnsi="Times New Roman" w:cs="Times New Roman"/>
                <w:sz w:val="16"/>
                <w:szCs w:val="16"/>
              </w:rPr>
              <w:t xml:space="preserve"> arasındadır.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Hastanızla ilgili tıbbi bilgi doktoru tarafından verilir.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Hasta ziyareti tıbbi nedenlerle hekim tarafından yasaklandıysa ziyaret konusunda ısrar etmeyiniz.</w:t>
            </w:r>
          </w:p>
          <w:p w:rsidR="00B77D2E" w:rsidRDefault="007B5383" w:rsidP="00616268">
            <w:pPr>
              <w:pStyle w:val="ListeParagraf"/>
              <w:numPr>
                <w:ilvl w:val="0"/>
                <w:numId w:val="2"/>
              </w:numPr>
              <w:ind w:left="360"/>
              <w:jc w:val="both"/>
              <w:rPr>
                <w:rFonts w:ascii="Times New Roman" w:hAnsi="Times New Roman" w:cs="Times New Roman"/>
                <w:sz w:val="16"/>
                <w:szCs w:val="16"/>
              </w:rPr>
            </w:pPr>
            <w:r w:rsidRPr="00B77D2E">
              <w:rPr>
                <w:rFonts w:ascii="Times New Roman" w:hAnsi="Times New Roman" w:cs="Times New Roman"/>
                <w:sz w:val="16"/>
                <w:szCs w:val="16"/>
              </w:rPr>
              <w:t xml:space="preserve">Ziyaret öncesi ve sonrası ellerin yıkanması önerilir. </w:t>
            </w:r>
          </w:p>
          <w:p w:rsidR="007B5383" w:rsidRPr="00B77D2E" w:rsidRDefault="007B5383" w:rsidP="00616268">
            <w:pPr>
              <w:pStyle w:val="ListeParagraf"/>
              <w:numPr>
                <w:ilvl w:val="0"/>
                <w:numId w:val="2"/>
              </w:numPr>
              <w:ind w:left="360"/>
              <w:jc w:val="both"/>
              <w:rPr>
                <w:rFonts w:ascii="Times New Roman" w:hAnsi="Times New Roman" w:cs="Times New Roman"/>
                <w:sz w:val="16"/>
                <w:szCs w:val="16"/>
              </w:rPr>
            </w:pPr>
            <w:r w:rsidRPr="00B77D2E">
              <w:rPr>
                <w:rFonts w:ascii="Times New Roman" w:hAnsi="Times New Roman" w:cs="Times New Roman"/>
                <w:sz w:val="16"/>
                <w:szCs w:val="16"/>
              </w:rPr>
              <w:t xml:space="preserve">Hastanızın </w:t>
            </w:r>
            <w:proofErr w:type="gramStart"/>
            <w:r w:rsidRPr="00B77D2E">
              <w:rPr>
                <w:rFonts w:ascii="Times New Roman" w:hAnsi="Times New Roman" w:cs="Times New Roman"/>
                <w:sz w:val="16"/>
                <w:szCs w:val="16"/>
              </w:rPr>
              <w:t>enfeksiyon</w:t>
            </w:r>
            <w:proofErr w:type="gramEnd"/>
            <w:r w:rsidRPr="00B77D2E">
              <w:rPr>
                <w:rFonts w:ascii="Times New Roman" w:hAnsi="Times New Roman" w:cs="Times New Roman"/>
                <w:sz w:val="16"/>
                <w:szCs w:val="16"/>
              </w:rPr>
              <w:t xml:space="preserve"> riskini önlemek için hastaneye canlı çiçek getirmeyiniz.</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Ziyarete gelirken yiyecek, içecek ve çiçek getirilmemelidir.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Hastanızı öpme sarılma gibi uygulamalardan sakınınız.</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Hastanın ihtiyaçları, hastayı takip eden hemşiresi tarafından belirlenerek hasta yakınlarına bildirilecektir.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16 yaşından küçük çocukların vücut direnci büyüklerden daha zayıf olduğundan hasta ziyaretlerine getirilmemesi önerilir.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Nezle ve soğuk algınlığı gibi bulaşıcı hastalıkların varlığında hasta ziyareti sakıncalıdır.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Ziyaret esnasında hasta yataklarına oturulmamalı, hasta başındaki cihazlara dokunulmamalı ve yüksek sesle konuşup diğer hastalar rahatsız edilmemelidir.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Hastane içinde tütün ve alkollü içecekler kullanılmamalıdır. Kullananlar hakkında yasal hükümler uygulanacaktır.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Size ve hastanıza huzurlu bir ortam sağlayabilmemiz için hastane içinde yükse sesle konuşmamanız gürültü yapmamanız gerekmektedir.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 xml:space="preserve">Enfeksiyon sebebiyle </w:t>
            </w:r>
            <w:proofErr w:type="gramStart"/>
            <w:r w:rsidRPr="00BF7040">
              <w:rPr>
                <w:rFonts w:ascii="Times New Roman" w:hAnsi="Times New Roman" w:cs="Times New Roman"/>
                <w:sz w:val="16"/>
                <w:szCs w:val="16"/>
              </w:rPr>
              <w:t>izolasyon</w:t>
            </w:r>
            <w:proofErr w:type="gramEnd"/>
            <w:r w:rsidRPr="00BF7040">
              <w:rPr>
                <w:rFonts w:ascii="Times New Roman" w:hAnsi="Times New Roman" w:cs="Times New Roman"/>
                <w:sz w:val="16"/>
                <w:szCs w:val="16"/>
              </w:rPr>
              <w:t xml:space="preserve"> uygulanan hastalarda ek kişisel koruyucu önlemler (maske, bone, önlük vs ) alınması gerekebilir, bu önlemler alınarak hasta ziyareti gerçekleştirilmelidir.</w:t>
            </w:r>
          </w:p>
          <w:p w:rsidR="007B5383" w:rsidRPr="00BF7040" w:rsidRDefault="007B5383" w:rsidP="00616268">
            <w:pPr>
              <w:pStyle w:val="ListeParagraf"/>
              <w:numPr>
                <w:ilvl w:val="0"/>
                <w:numId w:val="2"/>
              </w:numPr>
              <w:ind w:left="360"/>
              <w:jc w:val="both"/>
              <w:rPr>
                <w:rFonts w:ascii="Times New Roman" w:hAnsi="Times New Roman" w:cs="Times New Roman"/>
                <w:sz w:val="16"/>
                <w:szCs w:val="16"/>
              </w:rPr>
            </w:pPr>
            <w:r w:rsidRPr="00BF7040">
              <w:rPr>
                <w:rFonts w:ascii="Times New Roman" w:hAnsi="Times New Roman" w:cs="Times New Roman"/>
                <w:sz w:val="16"/>
                <w:szCs w:val="16"/>
              </w:rPr>
              <w:t xml:space="preserve">Hasta ziyareti esaslarına uyulması kontrolü; servis çalışanları hastane güvenlik görevlisi, nöbetçi memur kontrolündedir. </w:t>
            </w:r>
          </w:p>
          <w:p w:rsidR="00846770" w:rsidRPr="00AA2D20" w:rsidRDefault="002A3AE3" w:rsidP="00227826">
            <w:pPr>
              <w:pStyle w:val="ListeParagraf"/>
              <w:ind w:left="360"/>
              <w:jc w:val="center"/>
              <w:rPr>
                <w:rFonts w:ascii="Times New Roman" w:hAnsi="Times New Roman" w:cs="Times New Roman"/>
                <w:sz w:val="16"/>
                <w:szCs w:val="16"/>
              </w:rPr>
            </w:pPr>
            <w:r w:rsidRPr="00AA2D20">
              <w:rPr>
                <w:rFonts w:ascii="Times New Roman" w:eastAsia="Times New Roman" w:hAnsi="Times New Roman" w:cs="Times New Roman"/>
                <w:b/>
                <w:color w:val="002060"/>
                <w:sz w:val="16"/>
                <w:szCs w:val="16"/>
              </w:rPr>
              <w:t xml:space="preserve">Özellikli hasta gruplarının (Terminal Dönem, Yanık, Bağışıklık Sistemi Baskılanmış Hastalar, İstismara Uğramış </w:t>
            </w:r>
            <w:proofErr w:type="gramStart"/>
            <w:r w:rsidRPr="00AA2D20">
              <w:rPr>
                <w:rFonts w:ascii="Times New Roman" w:eastAsia="Times New Roman" w:hAnsi="Times New Roman" w:cs="Times New Roman"/>
                <w:b/>
                <w:color w:val="002060"/>
                <w:sz w:val="16"/>
                <w:szCs w:val="16"/>
              </w:rPr>
              <w:t>Hastalar</w:t>
            </w:r>
            <w:r w:rsidR="004518A4" w:rsidRPr="00AA2D20">
              <w:rPr>
                <w:rFonts w:ascii="Times New Roman" w:eastAsia="Times New Roman" w:hAnsi="Times New Roman" w:cs="Times New Roman"/>
                <w:b/>
                <w:color w:val="002060"/>
                <w:sz w:val="16"/>
                <w:szCs w:val="16"/>
              </w:rPr>
              <w:t>,Yoğun</w:t>
            </w:r>
            <w:proofErr w:type="gramEnd"/>
            <w:r w:rsidR="004518A4" w:rsidRPr="00AA2D20">
              <w:rPr>
                <w:rFonts w:ascii="Times New Roman" w:eastAsia="Times New Roman" w:hAnsi="Times New Roman" w:cs="Times New Roman"/>
                <w:b/>
                <w:color w:val="002060"/>
                <w:sz w:val="16"/>
                <w:szCs w:val="16"/>
              </w:rPr>
              <w:t xml:space="preserve"> Bakım Hastaları ,Bulaşıcı hastalığı olan hastalar )</w:t>
            </w:r>
          </w:p>
          <w:p w:rsidR="00846770" w:rsidRPr="00AA2D20" w:rsidRDefault="00846770" w:rsidP="00616268">
            <w:pPr>
              <w:pStyle w:val="ListeParagraf"/>
              <w:numPr>
                <w:ilvl w:val="0"/>
                <w:numId w:val="2"/>
              </w:numPr>
              <w:ind w:left="360"/>
              <w:jc w:val="both"/>
              <w:rPr>
                <w:rFonts w:ascii="Times New Roman" w:hAnsi="Times New Roman" w:cs="Times New Roman"/>
                <w:sz w:val="16"/>
                <w:szCs w:val="16"/>
              </w:rPr>
            </w:pPr>
            <w:r w:rsidRPr="00AA2D20">
              <w:rPr>
                <w:rFonts w:ascii="Times New Roman" w:hAnsi="Times New Roman" w:cs="Times New Roman"/>
                <w:color w:val="000000"/>
                <w:sz w:val="16"/>
                <w:szCs w:val="16"/>
              </w:rPr>
              <w:t>Yoğun Bakım Ünitesi ziyaret saati </w:t>
            </w:r>
            <w:proofErr w:type="gramStart"/>
            <w:r w:rsidR="00DA1949">
              <w:rPr>
                <w:rStyle w:val="Gl"/>
                <w:rFonts w:ascii="Times New Roman" w:hAnsi="Times New Roman" w:cs="Times New Roman"/>
                <w:color w:val="000000"/>
                <w:sz w:val="16"/>
                <w:szCs w:val="16"/>
              </w:rPr>
              <w:t>12:00</w:t>
            </w:r>
            <w:proofErr w:type="gramEnd"/>
            <w:r w:rsidR="00DA1949">
              <w:rPr>
                <w:rStyle w:val="Gl"/>
                <w:rFonts w:ascii="Times New Roman" w:hAnsi="Times New Roman" w:cs="Times New Roman"/>
                <w:color w:val="000000"/>
                <w:sz w:val="16"/>
                <w:szCs w:val="16"/>
              </w:rPr>
              <w:t xml:space="preserve"> – 13</w:t>
            </w:r>
            <w:r w:rsidRPr="00AA2D20">
              <w:rPr>
                <w:rStyle w:val="Gl"/>
                <w:rFonts w:ascii="Times New Roman" w:hAnsi="Times New Roman" w:cs="Times New Roman"/>
                <w:color w:val="000000"/>
                <w:sz w:val="16"/>
                <w:szCs w:val="16"/>
              </w:rPr>
              <w:t>:00</w:t>
            </w:r>
            <w:r w:rsidRPr="00AA2D20">
              <w:rPr>
                <w:rFonts w:ascii="Times New Roman" w:hAnsi="Times New Roman" w:cs="Times New Roman"/>
                <w:color w:val="000000"/>
                <w:sz w:val="16"/>
                <w:szCs w:val="16"/>
              </w:rPr>
              <w:t> saatleri arasındadır. Ziyaretçiler Yoğun Bakım Ünitesi’nde uygun hallerde belirlenen bilgilendirme saatlerinde, hekim tarafından, hastanın birinci derece yakınlarından birisine</w:t>
            </w:r>
            <w:r w:rsidR="00AA2D20" w:rsidRPr="00AA2D20">
              <w:rPr>
                <w:rFonts w:ascii="Times New Roman" w:hAnsi="Times New Roman" w:cs="Times New Roman"/>
                <w:color w:val="000000"/>
                <w:sz w:val="16"/>
                <w:szCs w:val="16"/>
              </w:rPr>
              <w:t xml:space="preserve"> beş dakika süre </w:t>
            </w:r>
            <w:proofErr w:type="gramStart"/>
            <w:r w:rsidR="00AA2D20" w:rsidRPr="00AA2D20">
              <w:rPr>
                <w:rFonts w:ascii="Times New Roman" w:hAnsi="Times New Roman" w:cs="Times New Roman"/>
                <w:color w:val="000000"/>
                <w:sz w:val="16"/>
                <w:szCs w:val="16"/>
              </w:rPr>
              <w:t xml:space="preserve">ile </w:t>
            </w:r>
            <w:r w:rsidRPr="00AA2D20">
              <w:rPr>
                <w:rFonts w:ascii="Times New Roman" w:hAnsi="Times New Roman" w:cs="Times New Roman"/>
                <w:color w:val="000000"/>
                <w:sz w:val="16"/>
                <w:szCs w:val="16"/>
              </w:rPr>
              <w:t>, hasta</w:t>
            </w:r>
            <w:proofErr w:type="gramEnd"/>
            <w:r w:rsidRPr="00AA2D20">
              <w:rPr>
                <w:rFonts w:ascii="Times New Roman" w:hAnsi="Times New Roman" w:cs="Times New Roman"/>
                <w:color w:val="000000"/>
                <w:sz w:val="16"/>
                <w:szCs w:val="16"/>
              </w:rPr>
              <w:t xml:space="preserve"> ziyareti için izin verilir.</w:t>
            </w:r>
          </w:p>
          <w:p w:rsidR="00846770" w:rsidRPr="00AA2D20" w:rsidRDefault="00846770" w:rsidP="00616268">
            <w:pPr>
              <w:pStyle w:val="ListeParagraf"/>
              <w:numPr>
                <w:ilvl w:val="0"/>
                <w:numId w:val="2"/>
              </w:numPr>
              <w:ind w:left="360"/>
              <w:jc w:val="both"/>
              <w:rPr>
                <w:rFonts w:ascii="Times New Roman" w:hAnsi="Times New Roman" w:cs="Times New Roman"/>
                <w:sz w:val="16"/>
                <w:szCs w:val="16"/>
              </w:rPr>
            </w:pPr>
            <w:r w:rsidRPr="00AA2D20">
              <w:rPr>
                <w:rFonts w:ascii="Times New Roman" w:hAnsi="Times New Roman" w:cs="Times New Roman"/>
                <w:color w:val="000000"/>
                <w:sz w:val="16"/>
                <w:szCs w:val="16"/>
              </w:rPr>
              <w:t xml:space="preserve">Yoğun Bakım Ünitesi’ne giren ziyaretçiler girişte ellerini su ve sabunla yıkayarak el </w:t>
            </w:r>
            <w:proofErr w:type="gramStart"/>
            <w:r w:rsidRPr="00AA2D20">
              <w:rPr>
                <w:rFonts w:ascii="Times New Roman" w:hAnsi="Times New Roman" w:cs="Times New Roman"/>
                <w:color w:val="000000"/>
                <w:sz w:val="16"/>
                <w:szCs w:val="16"/>
              </w:rPr>
              <w:t>hijyeni</w:t>
            </w:r>
            <w:proofErr w:type="gramEnd"/>
            <w:r w:rsidRPr="00AA2D20">
              <w:rPr>
                <w:rFonts w:ascii="Times New Roman" w:hAnsi="Times New Roman" w:cs="Times New Roman"/>
                <w:color w:val="000000"/>
                <w:sz w:val="16"/>
                <w:szCs w:val="16"/>
              </w:rPr>
              <w:t xml:space="preserve"> sağlamalı ya da alkollü el antiseptiği kullanmalıdır.</w:t>
            </w:r>
          </w:p>
          <w:p w:rsidR="00846770" w:rsidRPr="00AA2D20" w:rsidRDefault="00846770" w:rsidP="00616268">
            <w:pPr>
              <w:pStyle w:val="ListeParagraf"/>
              <w:numPr>
                <w:ilvl w:val="0"/>
                <w:numId w:val="2"/>
              </w:numPr>
              <w:ind w:left="360"/>
              <w:jc w:val="both"/>
              <w:rPr>
                <w:rFonts w:ascii="Times New Roman" w:hAnsi="Times New Roman" w:cs="Times New Roman"/>
                <w:sz w:val="16"/>
                <w:szCs w:val="16"/>
              </w:rPr>
            </w:pPr>
            <w:r w:rsidRPr="00AA2D20">
              <w:rPr>
                <w:rFonts w:ascii="Times New Roman" w:hAnsi="Times New Roman" w:cs="Times New Roman"/>
                <w:color w:val="000000"/>
                <w:sz w:val="16"/>
                <w:szCs w:val="16"/>
              </w:rPr>
              <w:t>Ziyaretçiler hastalara ve hasta bakım malzemelerine temas etmemelidir.</w:t>
            </w:r>
          </w:p>
          <w:p w:rsidR="00846770" w:rsidRPr="00AA2D20" w:rsidRDefault="00846770" w:rsidP="00616268">
            <w:pPr>
              <w:pStyle w:val="ListeParagraf"/>
              <w:numPr>
                <w:ilvl w:val="0"/>
                <w:numId w:val="2"/>
              </w:numPr>
              <w:ind w:left="360"/>
              <w:jc w:val="both"/>
              <w:rPr>
                <w:rStyle w:val="Gl"/>
                <w:rFonts w:ascii="Times New Roman" w:hAnsi="Times New Roman" w:cs="Times New Roman"/>
                <w:b w:val="0"/>
                <w:bCs w:val="0"/>
                <w:sz w:val="16"/>
                <w:szCs w:val="16"/>
              </w:rPr>
            </w:pPr>
            <w:r w:rsidRPr="00AA2D20">
              <w:rPr>
                <w:rStyle w:val="Gl"/>
                <w:rFonts w:ascii="Times New Roman" w:hAnsi="Times New Roman" w:cs="Times New Roman"/>
                <w:color w:val="000000"/>
                <w:sz w:val="16"/>
                <w:szCs w:val="16"/>
              </w:rPr>
              <w:t>Bulaşıcı hastalığı olan hastalar</w:t>
            </w:r>
          </w:p>
          <w:p w:rsidR="004518A4" w:rsidRPr="00AA2D20" w:rsidRDefault="00846770" w:rsidP="00616268">
            <w:pPr>
              <w:pStyle w:val="ListeParagraf"/>
              <w:numPr>
                <w:ilvl w:val="0"/>
                <w:numId w:val="2"/>
              </w:numPr>
              <w:ind w:left="360"/>
              <w:jc w:val="both"/>
              <w:rPr>
                <w:rFonts w:ascii="Times New Roman" w:hAnsi="Times New Roman" w:cs="Times New Roman"/>
                <w:sz w:val="16"/>
                <w:szCs w:val="16"/>
              </w:rPr>
            </w:pPr>
            <w:r w:rsidRPr="00AA2D20">
              <w:rPr>
                <w:rFonts w:ascii="Times New Roman" w:hAnsi="Times New Roman" w:cs="Times New Roman"/>
                <w:color w:val="000000"/>
                <w:sz w:val="16"/>
                <w:szCs w:val="16"/>
              </w:rPr>
              <w:t>Bulaşıcı hastalığı olan hastaların, yakınları tarafından ziyaretine doktor karar verir. Uygun bulunmadığında da bu hastalar için ziyaretçi kabul edilmez</w:t>
            </w:r>
            <w:r w:rsidR="004518A4" w:rsidRPr="00AA2D20">
              <w:rPr>
                <w:rFonts w:ascii="Times New Roman" w:hAnsi="Times New Roman" w:cs="Times New Roman"/>
                <w:color w:val="000000"/>
                <w:sz w:val="16"/>
                <w:szCs w:val="16"/>
              </w:rPr>
              <w:t>.</w:t>
            </w:r>
          </w:p>
          <w:p w:rsidR="004518A4" w:rsidRPr="00AA2D20" w:rsidRDefault="00846770" w:rsidP="00616268">
            <w:pPr>
              <w:pStyle w:val="ListeParagraf"/>
              <w:numPr>
                <w:ilvl w:val="0"/>
                <w:numId w:val="2"/>
              </w:numPr>
              <w:ind w:left="360"/>
              <w:jc w:val="both"/>
              <w:rPr>
                <w:rStyle w:val="Gl"/>
                <w:rFonts w:ascii="Times New Roman" w:hAnsi="Times New Roman" w:cs="Times New Roman"/>
                <w:b w:val="0"/>
                <w:bCs w:val="0"/>
                <w:sz w:val="16"/>
                <w:szCs w:val="16"/>
              </w:rPr>
            </w:pPr>
            <w:r w:rsidRPr="00AA2D20">
              <w:rPr>
                <w:rFonts w:ascii="Times New Roman" w:hAnsi="Times New Roman" w:cs="Times New Roman"/>
                <w:color w:val="000000"/>
                <w:sz w:val="16"/>
                <w:szCs w:val="16"/>
              </w:rPr>
              <w:t> </w:t>
            </w:r>
            <w:r w:rsidRPr="00AA2D20">
              <w:rPr>
                <w:rStyle w:val="Gl"/>
                <w:rFonts w:ascii="Times New Roman" w:hAnsi="Times New Roman" w:cs="Times New Roman"/>
                <w:color w:val="000000"/>
                <w:sz w:val="16"/>
                <w:szCs w:val="16"/>
              </w:rPr>
              <w:t>Bağışıklık sistemi bozuk hastalar</w:t>
            </w:r>
          </w:p>
          <w:p w:rsidR="00846770" w:rsidRPr="00AA2D20" w:rsidRDefault="00846770" w:rsidP="00616268">
            <w:pPr>
              <w:pStyle w:val="ListeParagraf"/>
              <w:numPr>
                <w:ilvl w:val="0"/>
                <w:numId w:val="2"/>
              </w:numPr>
              <w:ind w:left="360"/>
              <w:jc w:val="both"/>
              <w:rPr>
                <w:rFonts w:ascii="Times New Roman" w:hAnsi="Times New Roman" w:cs="Times New Roman"/>
                <w:sz w:val="16"/>
                <w:szCs w:val="16"/>
              </w:rPr>
            </w:pPr>
            <w:r w:rsidRPr="00AA2D20">
              <w:rPr>
                <w:rFonts w:ascii="Times New Roman" w:hAnsi="Times New Roman" w:cs="Times New Roman"/>
                <w:color w:val="000000"/>
                <w:sz w:val="16"/>
                <w:szCs w:val="16"/>
              </w:rPr>
              <w:t>Bağışıklık sistemi baskılanmış hastaların, yakınları tarafından ziyaretine doktor karar verir. Uygun bulunmadığında da bu hastalar için ziyaretçi kabul edilmez.</w:t>
            </w:r>
          </w:p>
          <w:p w:rsidR="00AA2D20" w:rsidRPr="00AA2D20" w:rsidRDefault="00AA2D20" w:rsidP="00616268">
            <w:pPr>
              <w:pStyle w:val="ListeParagraf"/>
              <w:ind w:left="360"/>
              <w:jc w:val="both"/>
              <w:rPr>
                <w:rFonts w:ascii="Times New Roman" w:hAnsi="Times New Roman" w:cs="Times New Roman"/>
                <w:b/>
                <w:sz w:val="16"/>
                <w:szCs w:val="16"/>
              </w:rPr>
            </w:pPr>
            <w:r>
              <w:rPr>
                <w:rFonts w:ascii="Times New Roman" w:hAnsi="Times New Roman" w:cs="Times New Roman"/>
                <w:b/>
                <w:sz w:val="16"/>
                <w:szCs w:val="16"/>
              </w:rPr>
              <w:t xml:space="preserve">   </w:t>
            </w:r>
            <w:r w:rsidR="0022782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A2D20">
              <w:rPr>
                <w:rFonts w:ascii="Times New Roman" w:hAnsi="Times New Roman" w:cs="Times New Roman"/>
                <w:b/>
                <w:sz w:val="16"/>
                <w:szCs w:val="16"/>
              </w:rPr>
              <w:t xml:space="preserve">Çocuk hastaların kardeş ve arkadaşları tarafından ziyaret edilmesine yönelik </w:t>
            </w:r>
            <w:proofErr w:type="gramStart"/>
            <w:r w:rsidRPr="00AA2D20">
              <w:rPr>
                <w:rFonts w:ascii="Times New Roman" w:hAnsi="Times New Roman" w:cs="Times New Roman"/>
                <w:b/>
                <w:sz w:val="16"/>
                <w:szCs w:val="16"/>
              </w:rPr>
              <w:t>kurallar ;</w:t>
            </w:r>
            <w:proofErr w:type="gramEnd"/>
            <w:r w:rsidR="00874795" w:rsidRPr="00AA2D20">
              <w:rPr>
                <w:rFonts w:ascii="Times New Roman" w:hAnsi="Times New Roman" w:cs="Times New Roman"/>
                <w:b/>
                <w:sz w:val="16"/>
                <w:szCs w:val="16"/>
              </w:rPr>
              <w:t xml:space="preserve">  </w:t>
            </w:r>
          </w:p>
          <w:p w:rsidR="00BF7040" w:rsidRPr="00AA2D20" w:rsidRDefault="00BF7040" w:rsidP="00616268">
            <w:pPr>
              <w:pStyle w:val="ListeParagraf"/>
              <w:numPr>
                <w:ilvl w:val="0"/>
                <w:numId w:val="3"/>
              </w:numPr>
              <w:ind w:left="360"/>
              <w:jc w:val="both"/>
              <w:rPr>
                <w:rFonts w:ascii="Times New Roman" w:hAnsi="Times New Roman" w:cs="Times New Roman"/>
                <w:sz w:val="16"/>
                <w:szCs w:val="16"/>
              </w:rPr>
            </w:pPr>
            <w:r w:rsidRPr="00AA2D20">
              <w:rPr>
                <w:rFonts w:ascii="Times New Roman" w:hAnsi="Times New Roman" w:cs="Times New Roman"/>
                <w:sz w:val="16"/>
                <w:szCs w:val="16"/>
              </w:rPr>
              <w:t xml:space="preserve">Herhangi bir temas öyküsü ya da aktif enfeksiyon bulgusu olmayan çocukların ziyaretinde bir sakınca </w:t>
            </w:r>
            <w:proofErr w:type="gramStart"/>
            <w:r w:rsidRPr="00AA2D20">
              <w:rPr>
                <w:rFonts w:ascii="Times New Roman" w:hAnsi="Times New Roman" w:cs="Times New Roman"/>
                <w:sz w:val="16"/>
                <w:szCs w:val="16"/>
              </w:rPr>
              <w:t>yoktur.</w:t>
            </w:r>
            <w:r w:rsidR="00AA2D20">
              <w:rPr>
                <w:rFonts w:ascii="Times New Roman" w:hAnsi="Times New Roman" w:cs="Times New Roman"/>
                <w:sz w:val="16"/>
                <w:szCs w:val="16"/>
              </w:rPr>
              <w:t>Tüm</w:t>
            </w:r>
            <w:proofErr w:type="gramEnd"/>
            <w:r w:rsidR="00AA2D20">
              <w:rPr>
                <w:rFonts w:ascii="Times New Roman" w:hAnsi="Times New Roman" w:cs="Times New Roman"/>
                <w:sz w:val="16"/>
                <w:szCs w:val="16"/>
              </w:rPr>
              <w:t xml:space="preserve"> çocuk ziyaretçiler yatan hasta ziyareti öncesinde bulaşıcı olduğu biline</w:t>
            </w:r>
            <w:r w:rsidR="00616268">
              <w:rPr>
                <w:rFonts w:ascii="Times New Roman" w:hAnsi="Times New Roman" w:cs="Times New Roman"/>
                <w:sz w:val="16"/>
                <w:szCs w:val="16"/>
              </w:rPr>
              <w:t xml:space="preserve">n bir hastalığı ile son dört hafta içinde geçirilmiş bir döküntülü hastalığı olup olmadığı sorgulanır.Hasta/temas öyküsü olan veya ziyaret esnasında </w:t>
            </w:r>
            <w:proofErr w:type="spellStart"/>
            <w:r w:rsidR="00616268">
              <w:rPr>
                <w:rFonts w:ascii="Times New Roman" w:hAnsi="Times New Roman" w:cs="Times New Roman"/>
                <w:sz w:val="16"/>
                <w:szCs w:val="16"/>
              </w:rPr>
              <w:t>viral</w:t>
            </w:r>
            <w:proofErr w:type="spellEnd"/>
            <w:r w:rsidR="00616268">
              <w:rPr>
                <w:rFonts w:ascii="Times New Roman" w:hAnsi="Times New Roman" w:cs="Times New Roman"/>
                <w:sz w:val="16"/>
                <w:szCs w:val="16"/>
              </w:rPr>
              <w:t xml:space="preserve"> solunum yolu enfeksiyonu şikayeti olan çocukların hastanede ziyaretçi olarak bulunması kabul edilmez.</w:t>
            </w:r>
          </w:p>
          <w:p w:rsidR="00BF7040" w:rsidRPr="00BF7040" w:rsidRDefault="00BF7040" w:rsidP="00616268">
            <w:pPr>
              <w:pStyle w:val="ListeParagraf"/>
              <w:numPr>
                <w:ilvl w:val="0"/>
                <w:numId w:val="2"/>
              </w:numPr>
              <w:ind w:left="360"/>
              <w:jc w:val="both"/>
              <w:rPr>
                <w:rFonts w:ascii="Times New Roman" w:hAnsi="Times New Roman" w:cs="Times New Roman"/>
                <w:sz w:val="16"/>
                <w:szCs w:val="16"/>
              </w:rPr>
            </w:pPr>
            <w:r w:rsidRPr="00AA2D20">
              <w:rPr>
                <w:rFonts w:ascii="Times New Roman" w:hAnsi="Times New Roman" w:cs="Times New Roman"/>
                <w:sz w:val="16"/>
                <w:szCs w:val="16"/>
              </w:rPr>
              <w:t xml:space="preserve">Üç yaş üzerindeki kardeş çocuklar bir seferde en fazla bir kardeş olmak üzere anne veya babadan en az birinin refakatinde her gün ve/veya belirlenen günlerde hastane </w:t>
            </w:r>
            <w:proofErr w:type="gramStart"/>
            <w:r w:rsidRPr="00AA2D20">
              <w:rPr>
                <w:rFonts w:ascii="Times New Roman" w:hAnsi="Times New Roman" w:cs="Times New Roman"/>
                <w:sz w:val="16"/>
                <w:szCs w:val="16"/>
              </w:rPr>
              <w:t>yönetimi  tarafından</w:t>
            </w:r>
            <w:proofErr w:type="gramEnd"/>
            <w:r w:rsidRPr="00AA2D20">
              <w:rPr>
                <w:rFonts w:ascii="Times New Roman" w:hAnsi="Times New Roman" w:cs="Times New Roman"/>
                <w:sz w:val="16"/>
                <w:szCs w:val="16"/>
              </w:rPr>
              <w:t xml:space="preserve">  belirlenmiş kliniklerde (klinik süreçleri ve hasta popülasyonuna göre klinik sorumlu hekimi ile enfeksiyon kontrol</w:t>
            </w:r>
            <w:r w:rsidRPr="00BF7040">
              <w:rPr>
                <w:rFonts w:ascii="Times New Roman" w:hAnsi="Times New Roman" w:cs="Times New Roman"/>
                <w:sz w:val="16"/>
                <w:szCs w:val="16"/>
              </w:rPr>
              <w:t xml:space="preserve"> komitesince uygun görülen klinikler) ve belirlenmiş bir saatte 15 dakikayı geçmeyecek şekilde ziyarette bulunabilirler</w:t>
            </w:r>
          </w:p>
          <w:p w:rsidR="00BF7040" w:rsidRPr="00B77D2E" w:rsidRDefault="00BF7040" w:rsidP="00B77D2E">
            <w:pPr>
              <w:pStyle w:val="ListeParagraf"/>
              <w:numPr>
                <w:ilvl w:val="0"/>
                <w:numId w:val="2"/>
              </w:numPr>
              <w:ind w:left="360"/>
              <w:rPr>
                <w:rFonts w:ascii="Times New Roman" w:hAnsi="Times New Roman" w:cs="Times New Roman"/>
                <w:sz w:val="16"/>
                <w:szCs w:val="16"/>
              </w:rPr>
            </w:pPr>
            <w:r w:rsidRPr="00BF7040">
              <w:rPr>
                <w:rFonts w:ascii="Times New Roman" w:hAnsi="Times New Roman" w:cs="Times New Roman"/>
                <w:sz w:val="16"/>
                <w:szCs w:val="16"/>
              </w:rPr>
              <w:t xml:space="preserve">Ziyaretçi çocukların girişte el hijyeni sağlandıktan sonra üniteye girmesine izin verilir Ziyaret sırasında ziyaretçi çocuğun, hasta çocuğa  dokunma, öpme gibi fiziksel temasına ve herhangi bir yiyecek getirmesine,  yedirmesine izin </w:t>
            </w:r>
            <w:proofErr w:type="gramStart"/>
            <w:r w:rsidRPr="00BF7040">
              <w:rPr>
                <w:rFonts w:ascii="Times New Roman" w:hAnsi="Times New Roman" w:cs="Times New Roman"/>
                <w:sz w:val="16"/>
                <w:szCs w:val="16"/>
              </w:rPr>
              <w:t>verilmez</w:t>
            </w:r>
            <w:r w:rsidR="00B77D2E">
              <w:rPr>
                <w:rFonts w:ascii="Times New Roman" w:hAnsi="Times New Roman" w:cs="Times New Roman"/>
                <w:sz w:val="16"/>
                <w:szCs w:val="16"/>
              </w:rPr>
              <w:t>.</w:t>
            </w:r>
            <w:r w:rsidRPr="00B77D2E">
              <w:rPr>
                <w:rFonts w:ascii="Times New Roman" w:hAnsi="Times New Roman" w:cs="Times New Roman"/>
                <w:sz w:val="16"/>
                <w:szCs w:val="16"/>
              </w:rPr>
              <w:t>Herhangi</w:t>
            </w:r>
            <w:proofErr w:type="gramEnd"/>
            <w:r w:rsidRPr="00B77D2E">
              <w:rPr>
                <w:rFonts w:ascii="Times New Roman" w:hAnsi="Times New Roman" w:cs="Times New Roman"/>
                <w:sz w:val="16"/>
                <w:szCs w:val="16"/>
              </w:rPr>
              <w:t xml:space="preserve"> bir salgın durumunda (toplum/hastane kaynaklı) Enfeksiyon Kontrol Komitesi ve/veya ünite sorumlusu tarafından veya ünitedeki acil durumlarda ünite sorumlusu tarafından ziyaretler yasaklanabilir veya ziyaret saatlerinde değişiklik yapılabilir</w:t>
            </w:r>
          </w:p>
          <w:p w:rsidR="007B5383" w:rsidRPr="00BF7040" w:rsidRDefault="007B5383" w:rsidP="00BF7040">
            <w:pPr>
              <w:pStyle w:val="ListeParagraf"/>
              <w:rPr>
                <w:rFonts w:ascii="Times New Roman" w:hAnsi="Times New Roman" w:cs="Times New Roman"/>
                <w:sz w:val="16"/>
                <w:szCs w:val="16"/>
              </w:rPr>
            </w:pPr>
          </w:p>
          <w:p w:rsidR="00C95653" w:rsidRPr="00BF7040" w:rsidRDefault="00C95653">
            <w:pPr>
              <w:rPr>
                <w:rFonts w:ascii="Times New Roman" w:hAnsi="Times New Roman" w:cs="Times New Roman"/>
                <w:sz w:val="16"/>
                <w:szCs w:val="16"/>
              </w:rPr>
            </w:pPr>
          </w:p>
          <w:p w:rsidR="00C95653" w:rsidRPr="00BF7040" w:rsidRDefault="00C95653">
            <w:pPr>
              <w:rPr>
                <w:rFonts w:ascii="Times New Roman" w:hAnsi="Times New Roman" w:cs="Times New Roman"/>
                <w:sz w:val="16"/>
                <w:szCs w:val="16"/>
              </w:rPr>
            </w:pPr>
          </w:p>
          <w:p w:rsidR="00C95653" w:rsidRPr="00BF7040" w:rsidRDefault="00C95653">
            <w:pPr>
              <w:rPr>
                <w:rFonts w:ascii="Times New Roman" w:hAnsi="Times New Roman" w:cs="Times New Roman"/>
                <w:sz w:val="16"/>
                <w:szCs w:val="16"/>
              </w:rPr>
            </w:pPr>
          </w:p>
        </w:tc>
        <w:tc>
          <w:tcPr>
            <w:tcW w:w="7229" w:type="dxa"/>
            <w:shd w:val="clear" w:color="auto" w:fill="EAF1DD" w:themeFill="accent3" w:themeFillTint="33"/>
          </w:tcPr>
          <w:p w:rsidR="00C95653" w:rsidRPr="00BF7040" w:rsidRDefault="00C95653" w:rsidP="007B5383">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lastRenderedPageBreak/>
              <w:t>Refakatçi gereksinimine hastanın doktoru tarafından karar verilmektedir.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hAnsi="Times New Roman" w:cs="Times New Roman"/>
                <w:color w:val="002060"/>
                <w:sz w:val="16"/>
                <w:szCs w:val="16"/>
                <w:shd w:val="clear" w:color="auto" w:fill="FFFFFF"/>
              </w:rPr>
              <w:t>Refakatçi için HBYS üzerinden refakat tanımlanır ve refakatçi sayısı özel durumlar dışında bir kişiyle sınırlıdır.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333333"/>
                <w:sz w:val="16"/>
                <w:szCs w:val="16"/>
              </w:rPr>
            </w:pPr>
            <w:r w:rsidRPr="00BF7040">
              <w:rPr>
                <w:rFonts w:ascii="Times New Roman" w:eastAsia="Times New Roman" w:hAnsi="Times New Roman" w:cs="Times New Roman"/>
                <w:color w:val="000000"/>
                <w:sz w:val="16"/>
                <w:szCs w:val="16"/>
              </w:rPr>
              <w:t xml:space="preserve">Servise gelen hasta yakınına refakatçi kartı </w:t>
            </w:r>
            <w:proofErr w:type="gramStart"/>
            <w:r w:rsidRPr="00BF7040">
              <w:rPr>
                <w:rFonts w:ascii="Times New Roman" w:eastAsia="Times New Roman" w:hAnsi="Times New Roman" w:cs="Times New Roman"/>
                <w:color w:val="000000"/>
                <w:sz w:val="16"/>
                <w:szCs w:val="16"/>
              </w:rPr>
              <w:t>verilir.Refakatçilerin</w:t>
            </w:r>
            <w:proofErr w:type="gramEnd"/>
            <w:r w:rsidRPr="00BF7040">
              <w:rPr>
                <w:rFonts w:ascii="Times New Roman" w:eastAsia="Times New Roman" w:hAnsi="Times New Roman" w:cs="Times New Roman"/>
                <w:color w:val="000000"/>
                <w:sz w:val="16"/>
                <w:szCs w:val="16"/>
              </w:rPr>
              <w:t xml:space="preserve"> hastanemizde refakatçi olarak bulundukları sürece kartlarını üzerlerinde görünür bir şekilde takmaları gerekmektedir. Refakatçi kartı başkası tarafından kullanılmaz.</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 kartı, giriş çıkışlarda güvenlik görevlileri tarafından kontrol edilir.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 değişimlerinden servis hemşireleri  haberdar edilecektir.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Refakatçiye refakat kartlarını göstermek sureti ile ayrı bir ücret ödemeksizin kahvaltı, öğle ve akşam yemekleri verilir.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Kadın hastaların bulunduğu hasta odalarında, hastalarımızın mahremiyeti açısından erkek refakatçi       kalamaz.</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Yoğun bakım ünitelerinde refakatçi bulundurulamaz.</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 Refakatçiler ilgili hekim ya da hemşire istemi dışında, hastalarını servis dışına çıkarmayacak veya yatağını değiştirmeyecektir.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2060"/>
                <w:sz w:val="16"/>
                <w:szCs w:val="16"/>
              </w:rPr>
              <w:t>Hastanız için acil ihtiyaç duyduğunuzda yatak başında bulunan hemşire çağrı zili kullanılmalıdır.</w:t>
            </w:r>
          </w:p>
          <w:p w:rsidR="00C95653" w:rsidRPr="00227826" w:rsidRDefault="00C95653" w:rsidP="00227826">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333333"/>
                <w:sz w:val="16"/>
                <w:szCs w:val="16"/>
              </w:rPr>
            </w:pPr>
            <w:r w:rsidRPr="00BF7040">
              <w:rPr>
                <w:rFonts w:ascii="Times New Roman" w:eastAsia="Times New Roman" w:hAnsi="Times New Roman" w:cs="Times New Roman"/>
                <w:color w:val="000000"/>
                <w:sz w:val="16"/>
                <w:szCs w:val="16"/>
              </w:rPr>
              <w:t> Refakatçiler hastaya yiyecek, içecek getirmeyecek, hekim ya da hemşireye danışmadan hastaya hiçbir yiyecek, içecek vermeyecektir.</w:t>
            </w:r>
            <w:r w:rsidR="00227826" w:rsidRPr="00BF7040">
              <w:rPr>
                <w:rFonts w:ascii="Times New Roman" w:eastAsia="Times New Roman" w:hAnsi="Times New Roman" w:cs="Times New Roman"/>
                <w:color w:val="002060"/>
                <w:sz w:val="16"/>
                <w:szCs w:val="16"/>
              </w:rPr>
              <w:t xml:space="preserve"> Refakatçiler el </w:t>
            </w:r>
            <w:proofErr w:type="gramStart"/>
            <w:r w:rsidR="00227826" w:rsidRPr="00BF7040">
              <w:rPr>
                <w:rFonts w:ascii="Times New Roman" w:eastAsia="Times New Roman" w:hAnsi="Times New Roman" w:cs="Times New Roman"/>
                <w:color w:val="002060"/>
                <w:sz w:val="16"/>
                <w:szCs w:val="16"/>
              </w:rPr>
              <w:t>hijyeni</w:t>
            </w:r>
            <w:proofErr w:type="gramEnd"/>
            <w:r w:rsidR="00227826" w:rsidRPr="00BF7040">
              <w:rPr>
                <w:rFonts w:ascii="Times New Roman" w:eastAsia="Times New Roman" w:hAnsi="Times New Roman" w:cs="Times New Roman"/>
                <w:color w:val="002060"/>
                <w:sz w:val="16"/>
                <w:szCs w:val="16"/>
              </w:rPr>
              <w:t xml:space="preserve"> kurallarına uymalıdır</w:t>
            </w:r>
            <w:r w:rsidR="00227826">
              <w:rPr>
                <w:rFonts w:ascii="Times New Roman" w:eastAsia="Times New Roman" w:hAnsi="Times New Roman" w:cs="Times New Roman"/>
                <w:color w:val="333333"/>
                <w:sz w:val="16"/>
                <w:szCs w:val="16"/>
              </w:rPr>
              <w:t>.</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 hastaya hekim ve hemşirenin bilgisi dışında herhangi bir uygulama yapamaz.</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 hastane kurallarına uymalıdırlar. İhlali halinde, ilgili kişinin refakat durumu kabul edilmeyecektir.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 hastaneye ait eşya-malzemeleri düzenli ve temiz tutmalıdır. Hastane malına zarar veren refakatçi, zararı karşılamak mecburiyetindedir.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Refakatçilerin istirahat edebilmeleri için hasta odalarında bulunan refakatçi koltuklarını kullanabilirler.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 Refakatçiler hastanede tütün, sigara ve alkollü madde kullanamazlar.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 hastaları ile ilgili herhangi bir sorun olduğu zaman hemşireye haber vermelidir.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Refakatçilerin, gerek görüldüğünde (</w:t>
            </w:r>
            <w:proofErr w:type="spellStart"/>
            <w:r w:rsidRPr="00BF7040">
              <w:rPr>
                <w:rFonts w:ascii="Times New Roman" w:eastAsia="Times New Roman" w:hAnsi="Times New Roman" w:cs="Times New Roman"/>
                <w:color w:val="000000"/>
                <w:sz w:val="16"/>
                <w:szCs w:val="16"/>
              </w:rPr>
              <w:t>vizit</w:t>
            </w:r>
            <w:proofErr w:type="spellEnd"/>
            <w:r w:rsidRPr="00BF7040">
              <w:rPr>
                <w:rFonts w:ascii="Times New Roman" w:eastAsia="Times New Roman" w:hAnsi="Times New Roman" w:cs="Times New Roman"/>
                <w:color w:val="000000"/>
                <w:sz w:val="16"/>
                <w:szCs w:val="16"/>
              </w:rPr>
              <w:t xml:space="preserve"> saatlerinde, hastaya girişim yapılacağı zaman vs.) hasta odalarından çıkmaları gerekmektedir.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000000"/>
                <w:sz w:val="16"/>
                <w:szCs w:val="16"/>
              </w:rPr>
            </w:pPr>
            <w:r w:rsidRPr="00BF7040">
              <w:rPr>
                <w:rFonts w:ascii="Times New Roman" w:eastAsia="Times New Roman" w:hAnsi="Times New Roman" w:cs="Times New Roman"/>
                <w:color w:val="000000"/>
                <w:sz w:val="16"/>
                <w:szCs w:val="16"/>
              </w:rPr>
              <w:t>Refakatçilerin hastalarının taburcu olması durumunda refakatçi kartlarını teslim etmeleri gerekmektedir.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333333"/>
                <w:sz w:val="16"/>
                <w:szCs w:val="16"/>
              </w:rPr>
            </w:pPr>
            <w:r w:rsidRPr="00BF7040">
              <w:rPr>
                <w:rFonts w:ascii="Times New Roman" w:eastAsia="Times New Roman" w:hAnsi="Times New Roman" w:cs="Times New Roman"/>
                <w:color w:val="000000"/>
                <w:sz w:val="16"/>
                <w:szCs w:val="16"/>
              </w:rPr>
              <w:t xml:space="preserve">Öneri, teşekkür ve şikâyetlerinizi “Hasta </w:t>
            </w:r>
            <w:r w:rsidR="00227826">
              <w:rPr>
                <w:rFonts w:ascii="Times New Roman" w:eastAsia="Times New Roman" w:hAnsi="Times New Roman" w:cs="Times New Roman"/>
                <w:color w:val="000000"/>
                <w:sz w:val="16"/>
                <w:szCs w:val="16"/>
              </w:rPr>
              <w:t xml:space="preserve">Hakları </w:t>
            </w:r>
            <w:r w:rsidRPr="00BF7040">
              <w:rPr>
                <w:rFonts w:ascii="Times New Roman" w:eastAsia="Times New Roman" w:hAnsi="Times New Roman" w:cs="Times New Roman"/>
                <w:color w:val="000000"/>
                <w:sz w:val="16"/>
                <w:szCs w:val="16"/>
              </w:rPr>
              <w:t>Birimi”, “dilek-öneri kutuları” ve Web Sayfamızdaki” dilek-öneriler (e-posta)” aracılığı ile iletebilirsiniz.</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color w:val="333333"/>
                <w:sz w:val="16"/>
                <w:szCs w:val="16"/>
              </w:rPr>
            </w:pPr>
            <w:r w:rsidRPr="00BF7040">
              <w:rPr>
                <w:rFonts w:ascii="Times New Roman" w:eastAsia="Times New Roman" w:hAnsi="Times New Roman" w:cs="Times New Roman"/>
                <w:color w:val="000000"/>
                <w:sz w:val="16"/>
                <w:szCs w:val="16"/>
              </w:rPr>
              <w:t>Acil durumlarda hastane tahliye alanları her katta tabelayla gösterilmiştir.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b/>
                <w:color w:val="333333"/>
                <w:sz w:val="16"/>
                <w:szCs w:val="16"/>
              </w:rPr>
            </w:pPr>
            <w:r w:rsidRPr="00BF7040">
              <w:rPr>
                <w:rFonts w:ascii="Times New Roman" w:eastAsia="Times New Roman" w:hAnsi="Times New Roman" w:cs="Times New Roman"/>
                <w:b/>
                <w:color w:val="002060"/>
                <w:sz w:val="16"/>
                <w:szCs w:val="16"/>
              </w:rPr>
              <w:t xml:space="preserve">Özellikli hasta gruplarının (Terminal Dönem, Yanık, Bağışıklık Sistemi Baskılanmış Hastalar, İstismara Uğramış Hastalar) refakatçileri hasta başında hasta özelliğine uygun kişisel koruyucu </w:t>
            </w:r>
            <w:proofErr w:type="gramStart"/>
            <w:r w:rsidRPr="00BF7040">
              <w:rPr>
                <w:rFonts w:ascii="Times New Roman" w:eastAsia="Times New Roman" w:hAnsi="Times New Roman" w:cs="Times New Roman"/>
                <w:b/>
                <w:color w:val="002060"/>
                <w:sz w:val="16"/>
                <w:szCs w:val="16"/>
              </w:rPr>
              <w:t>ekipman</w:t>
            </w:r>
            <w:proofErr w:type="gramEnd"/>
            <w:r w:rsidRPr="00BF7040">
              <w:rPr>
                <w:rFonts w:ascii="Times New Roman" w:eastAsia="Times New Roman" w:hAnsi="Times New Roman" w:cs="Times New Roman"/>
                <w:b/>
                <w:color w:val="002060"/>
                <w:sz w:val="16"/>
                <w:szCs w:val="16"/>
              </w:rPr>
              <w:t xml:space="preserve"> (maske, bone, galoş vb.) kullanmalıdır.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b/>
                <w:color w:val="333333"/>
                <w:sz w:val="16"/>
                <w:szCs w:val="16"/>
              </w:rPr>
            </w:pPr>
            <w:r w:rsidRPr="00BF7040">
              <w:rPr>
                <w:rFonts w:ascii="Times New Roman" w:eastAsia="Times New Roman" w:hAnsi="Times New Roman" w:cs="Times New Roman"/>
                <w:b/>
                <w:color w:val="002060"/>
                <w:sz w:val="16"/>
                <w:szCs w:val="16"/>
              </w:rPr>
              <w:t xml:space="preserve">Özellikli hasta gruplarının yanında refakatçi olarak kalacak kişiler; </w:t>
            </w:r>
            <w:proofErr w:type="gramStart"/>
            <w:r w:rsidRPr="00BF7040">
              <w:rPr>
                <w:rFonts w:ascii="Times New Roman" w:eastAsia="Times New Roman" w:hAnsi="Times New Roman" w:cs="Times New Roman"/>
                <w:b/>
                <w:color w:val="002060"/>
                <w:sz w:val="16"/>
                <w:szCs w:val="16"/>
              </w:rPr>
              <w:t>enfeksiyon</w:t>
            </w:r>
            <w:proofErr w:type="gramEnd"/>
            <w:r w:rsidRPr="00BF7040">
              <w:rPr>
                <w:rFonts w:ascii="Times New Roman" w:eastAsia="Times New Roman" w:hAnsi="Times New Roman" w:cs="Times New Roman"/>
                <w:b/>
                <w:color w:val="002060"/>
                <w:sz w:val="16"/>
                <w:szCs w:val="16"/>
              </w:rPr>
              <w:t xml:space="preserve"> hastalığı, ağır kronik hastalığı olan ve enfeksiyon almaya yatkın olan kişiler olmamalıdır.</w:t>
            </w:r>
          </w:p>
          <w:p w:rsidR="00C95653" w:rsidRPr="00BF7040" w:rsidRDefault="00C95653" w:rsidP="00616268">
            <w:pPr>
              <w:numPr>
                <w:ilvl w:val="0"/>
                <w:numId w:val="1"/>
              </w:numPr>
              <w:shd w:val="clear" w:color="auto" w:fill="EAF1DD" w:themeFill="accent3" w:themeFillTint="33"/>
              <w:spacing w:before="100" w:beforeAutospacing="1" w:after="100" w:afterAutospacing="1"/>
              <w:jc w:val="both"/>
              <w:rPr>
                <w:rFonts w:ascii="Times New Roman" w:eastAsia="Times New Roman" w:hAnsi="Times New Roman" w:cs="Times New Roman"/>
                <w:b/>
                <w:color w:val="333333"/>
                <w:sz w:val="16"/>
                <w:szCs w:val="16"/>
              </w:rPr>
            </w:pPr>
            <w:r w:rsidRPr="00BF7040">
              <w:rPr>
                <w:rFonts w:ascii="Times New Roman" w:eastAsia="Times New Roman" w:hAnsi="Times New Roman" w:cs="Times New Roman"/>
                <w:b/>
                <w:color w:val="002060"/>
                <w:sz w:val="16"/>
                <w:szCs w:val="16"/>
              </w:rPr>
              <w:t xml:space="preserve">Refakatçi kalacak kişiler; bilinen bir </w:t>
            </w:r>
            <w:proofErr w:type="gramStart"/>
            <w:r w:rsidRPr="00BF7040">
              <w:rPr>
                <w:rFonts w:ascii="Times New Roman" w:eastAsia="Times New Roman" w:hAnsi="Times New Roman" w:cs="Times New Roman"/>
                <w:b/>
                <w:color w:val="002060"/>
                <w:sz w:val="16"/>
                <w:szCs w:val="16"/>
              </w:rPr>
              <w:t>enfeksiyon</w:t>
            </w:r>
            <w:proofErr w:type="gramEnd"/>
            <w:r w:rsidRPr="00BF7040">
              <w:rPr>
                <w:rFonts w:ascii="Times New Roman" w:eastAsia="Times New Roman" w:hAnsi="Times New Roman" w:cs="Times New Roman"/>
                <w:b/>
                <w:color w:val="002060"/>
                <w:sz w:val="16"/>
                <w:szCs w:val="16"/>
              </w:rPr>
              <w:t xml:space="preserve"> hastalığı ve ateş, öksürük, aksırık ve balgam çıkarma gibi şikayeti olanlar ile bakıma ihtiyacı olan kişiler ve 12 yaşından küçük çocuk olmamalıdır. Özellikli hasta gruplarının refakatçileri hastanın güven duyduğu, alışık olduğu kişiler olmalıdır.</w:t>
            </w:r>
          </w:p>
          <w:p w:rsidR="00C95653" w:rsidRPr="00BF7040" w:rsidRDefault="00C95653" w:rsidP="00616268">
            <w:pPr>
              <w:pStyle w:val="ListeParagraf"/>
              <w:numPr>
                <w:ilvl w:val="0"/>
                <w:numId w:val="1"/>
              </w:numPr>
              <w:shd w:val="clear" w:color="auto" w:fill="EAF1DD" w:themeFill="accent3" w:themeFillTint="33"/>
              <w:rPr>
                <w:rFonts w:ascii="Times New Roman" w:hAnsi="Times New Roman" w:cs="Times New Roman"/>
                <w:sz w:val="16"/>
                <w:szCs w:val="16"/>
              </w:rPr>
            </w:pPr>
            <w:r w:rsidRPr="00BF7040">
              <w:rPr>
                <w:rFonts w:ascii="Times New Roman" w:eastAsia="Times New Roman" w:hAnsi="Times New Roman" w:cs="Times New Roman"/>
                <w:color w:val="000000"/>
                <w:sz w:val="16"/>
                <w:szCs w:val="16"/>
              </w:rPr>
              <w:t xml:space="preserve">Sizlere huzurlu bir ortam sağlanması için, hasta ve yakınlarının; hasta odası ve servis koridorlarında yüksek sesle konuşmaması, çalışanları ve diğer hastaları rahatsız etmemesi beklenir. Ayrıca odalarınızda bulunan televizyonların başkalarını rahatsız etmeyecek şekilde kullanılması; doktor </w:t>
            </w:r>
            <w:proofErr w:type="spellStart"/>
            <w:r w:rsidRPr="00BF7040">
              <w:rPr>
                <w:rFonts w:ascii="Times New Roman" w:eastAsia="Times New Roman" w:hAnsi="Times New Roman" w:cs="Times New Roman"/>
                <w:color w:val="000000"/>
                <w:sz w:val="16"/>
                <w:szCs w:val="16"/>
              </w:rPr>
              <w:t>vizi</w:t>
            </w:r>
            <w:r w:rsidR="00616268">
              <w:rPr>
                <w:rFonts w:ascii="Times New Roman" w:eastAsia="Times New Roman" w:hAnsi="Times New Roman" w:cs="Times New Roman"/>
                <w:color w:val="000000"/>
                <w:sz w:val="16"/>
                <w:szCs w:val="16"/>
              </w:rPr>
              <w:t>t</w:t>
            </w:r>
            <w:proofErr w:type="spellEnd"/>
            <w:r w:rsidR="00616268">
              <w:rPr>
                <w:rFonts w:ascii="Times New Roman" w:eastAsia="Times New Roman" w:hAnsi="Times New Roman" w:cs="Times New Roman"/>
                <w:color w:val="000000"/>
                <w:sz w:val="16"/>
                <w:szCs w:val="16"/>
              </w:rPr>
              <w:t xml:space="preserve"> saatlerinde ve saat 22</w:t>
            </w:r>
            <w:r w:rsidRPr="00BF7040">
              <w:rPr>
                <w:rFonts w:ascii="Times New Roman" w:eastAsia="Times New Roman" w:hAnsi="Times New Roman" w:cs="Times New Roman"/>
                <w:color w:val="000000"/>
                <w:sz w:val="16"/>
                <w:szCs w:val="16"/>
              </w:rPr>
              <w:t xml:space="preserve">:00 </w:t>
            </w:r>
            <w:proofErr w:type="gramStart"/>
            <w:r w:rsidRPr="00BF7040">
              <w:rPr>
                <w:rFonts w:ascii="Times New Roman" w:eastAsia="Times New Roman" w:hAnsi="Times New Roman" w:cs="Times New Roman"/>
                <w:color w:val="000000"/>
                <w:sz w:val="16"/>
                <w:szCs w:val="16"/>
              </w:rPr>
              <w:t>dan</w:t>
            </w:r>
            <w:proofErr w:type="gramEnd"/>
            <w:r w:rsidRPr="00BF7040">
              <w:rPr>
                <w:rFonts w:ascii="Times New Roman" w:eastAsia="Times New Roman" w:hAnsi="Times New Roman" w:cs="Times New Roman"/>
                <w:color w:val="000000"/>
                <w:sz w:val="16"/>
                <w:szCs w:val="16"/>
              </w:rPr>
              <w:t xml:space="preserve"> sonra kapatılması gerekir</w:t>
            </w:r>
          </w:p>
        </w:tc>
      </w:tr>
    </w:tbl>
    <w:p w:rsidR="00F576DA" w:rsidRPr="00BF7040" w:rsidRDefault="00F576DA">
      <w:pPr>
        <w:rPr>
          <w:rFonts w:ascii="Times New Roman" w:hAnsi="Times New Roman" w:cs="Times New Roman"/>
          <w:sz w:val="16"/>
          <w:szCs w:val="16"/>
        </w:rPr>
      </w:pPr>
    </w:p>
    <w:sectPr w:rsidR="00F576DA" w:rsidRPr="00BF7040" w:rsidSect="00C9565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67A"/>
    <w:multiLevelType w:val="hybridMultilevel"/>
    <w:tmpl w:val="0632296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13F49D0"/>
    <w:multiLevelType w:val="hybridMultilevel"/>
    <w:tmpl w:val="D4D20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FE6571"/>
    <w:multiLevelType w:val="hybridMultilevel"/>
    <w:tmpl w:val="BE902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95653"/>
    <w:rsid w:val="0003264C"/>
    <w:rsid w:val="00227826"/>
    <w:rsid w:val="00236D4B"/>
    <w:rsid w:val="002A3AE3"/>
    <w:rsid w:val="004518A4"/>
    <w:rsid w:val="00607DCD"/>
    <w:rsid w:val="00616268"/>
    <w:rsid w:val="007B5383"/>
    <w:rsid w:val="00846770"/>
    <w:rsid w:val="00874795"/>
    <w:rsid w:val="00AA2D20"/>
    <w:rsid w:val="00B00970"/>
    <w:rsid w:val="00B77D2E"/>
    <w:rsid w:val="00BF7040"/>
    <w:rsid w:val="00C95653"/>
    <w:rsid w:val="00CD5356"/>
    <w:rsid w:val="00DA1949"/>
    <w:rsid w:val="00F576DA"/>
    <w:rsid w:val="00F65C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rsid w:val="00C956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956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653"/>
    <w:rPr>
      <w:rFonts w:ascii="Tahoma" w:hAnsi="Tahoma" w:cs="Tahoma"/>
      <w:sz w:val="16"/>
      <w:szCs w:val="16"/>
    </w:rPr>
  </w:style>
  <w:style w:type="table" w:styleId="TabloKlavuzu">
    <w:name w:val="Table Grid"/>
    <w:basedOn w:val="NormalTablo"/>
    <w:uiPriority w:val="59"/>
    <w:rsid w:val="00C95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95653"/>
    <w:pPr>
      <w:ind w:left="720"/>
      <w:contextualSpacing/>
    </w:pPr>
  </w:style>
  <w:style w:type="paragraph" w:styleId="NormalWeb">
    <w:name w:val="Normal (Web)"/>
    <w:basedOn w:val="Normal"/>
    <w:uiPriority w:val="99"/>
    <w:semiHidden/>
    <w:unhideWhenUsed/>
    <w:rsid w:val="0084677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46770"/>
    <w:rPr>
      <w:b/>
      <w:bCs/>
    </w:rPr>
  </w:style>
</w:styles>
</file>

<file path=word/webSettings.xml><?xml version="1.0" encoding="utf-8"?>
<w:webSettings xmlns:r="http://schemas.openxmlformats.org/officeDocument/2006/relationships" xmlns:w="http://schemas.openxmlformats.org/wordprocessingml/2006/main">
  <w:divs>
    <w:div w:id="258680388">
      <w:bodyDiv w:val="1"/>
      <w:marLeft w:val="0"/>
      <w:marRight w:val="0"/>
      <w:marTop w:val="0"/>
      <w:marBottom w:val="0"/>
      <w:divBdr>
        <w:top w:val="none" w:sz="0" w:space="0" w:color="auto"/>
        <w:left w:val="none" w:sz="0" w:space="0" w:color="auto"/>
        <w:bottom w:val="none" w:sz="0" w:space="0" w:color="auto"/>
        <w:right w:val="none" w:sz="0" w:space="0" w:color="auto"/>
      </w:divBdr>
    </w:div>
    <w:div w:id="1647083344">
      <w:bodyDiv w:val="1"/>
      <w:marLeft w:val="0"/>
      <w:marRight w:val="0"/>
      <w:marTop w:val="0"/>
      <w:marBottom w:val="0"/>
      <w:divBdr>
        <w:top w:val="none" w:sz="0" w:space="0" w:color="auto"/>
        <w:left w:val="none" w:sz="0" w:space="0" w:color="auto"/>
        <w:bottom w:val="none" w:sz="0" w:space="0" w:color="auto"/>
        <w:right w:val="none" w:sz="0" w:space="0" w:color="auto"/>
      </w:divBdr>
    </w:div>
    <w:div w:id="17333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31421151514</dc:creator>
  <cp:keywords/>
  <dc:description/>
  <cp:lastModifiedBy>31421151514</cp:lastModifiedBy>
  <cp:revision>14</cp:revision>
  <cp:lastPrinted>2021-06-11T07:25:00Z</cp:lastPrinted>
  <dcterms:created xsi:type="dcterms:W3CDTF">2021-06-11T06:20:00Z</dcterms:created>
  <dcterms:modified xsi:type="dcterms:W3CDTF">2021-06-11T10:57:00Z</dcterms:modified>
</cp:coreProperties>
</file>